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word/theme/themeOverride44.xml" ContentType="application/vnd.openxmlformats-officedocument.themeOverride+xml"/>
  <Override PartName="/word/theme/themeOverride62.xml" ContentType="application/vnd.openxmlformats-officedocument.themeOverride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51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40.xml" ContentType="application/vnd.openxmlformats-officedocument.themeOverride+xml"/>
  <Override PartName="/word/charts/chart59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charts/chart62.xml" ContentType="application/vnd.openxmlformats-officedocument.drawingml.chart+xml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theme/themeOverride38.xml" ContentType="application/vnd.openxmlformats-officedocument.themeOverride+xml"/>
  <Override PartName="/word/theme/themeOverride49.xml" ContentType="application/vnd.openxmlformats-officedocument.themeOverride+xml"/>
  <Override PartName="/word/charts/chart51.xml" ContentType="application/vnd.openxmlformats-officedocument.drawingml.chart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27.xml" ContentType="application/vnd.openxmlformats-officedocument.themeOverride+xml"/>
  <Override PartName="/word/charts/chart40.xml" ContentType="application/vnd.openxmlformats-officedocument.drawingml.chart+xml"/>
  <Override PartName="/word/theme/themeOverride45.xml" ContentType="application/vnd.openxmlformats-officedocument.themeOverride+xml"/>
  <Override PartName="/word/theme/themeOverride56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43.xml" ContentType="application/vnd.openxmlformats-officedocument.themeOverride+xml"/>
  <Override PartName="/word/theme/themeOverride54.xml" ContentType="application/vnd.openxmlformats-officedocument.themeOverride+xml"/>
  <Override PartName="/word/theme/themeOverride63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41.xml" ContentType="application/vnd.openxmlformats-officedocument.themeOverride+xml"/>
  <Override PartName="/word/theme/themeOverride52.xml" ContentType="application/vnd.openxmlformats-officedocument.themeOverride+xml"/>
  <Override PartName="/word/theme/themeOverride61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charts/chart49.xml" ContentType="application/vnd.openxmlformats-officedocument.drawingml.chart+xml"/>
  <Override PartName="/word/theme/themeOverride50.xml" ContentType="application/vnd.openxmlformats-officedocument.themeOverride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theme/themeOverride59.xml" ContentType="application/vnd.openxmlformats-officedocument.themeOverride+xml"/>
  <Override PartName="/word/charts/chart6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theme/themeOverride48.xml" ContentType="application/vnd.openxmlformats-officedocument.themeOverride+xml"/>
  <Override PartName="/word/charts/chart50.xml" ContentType="application/vnd.openxmlformats-officedocument.drawingml.chart+xml"/>
  <Override PartName="/word/theme/themeOverride57.xml" ContentType="application/vnd.openxmlformats-officedocument.themeOverride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theme/themeOverride37.xml" ContentType="application/vnd.openxmlformats-officedocument.themeOverride+xml"/>
  <Override PartName="/word/theme/themeOverride46.xml" ContentType="application/vnd.openxmlformats-officedocument.themeOverride+xml"/>
  <Override PartName="/word/theme/themeOverride55.xml" ContentType="application/vnd.openxmlformats-officedocument.themeOverride+xml"/>
  <Override PartName="/word/theme/themeOverride64.xml" ContentType="application/vnd.openxmlformats-officedocument.themeOverride+xml"/>
  <Override PartName="/docProps/core.xml" ContentType="application/vnd.openxmlformats-package.core-properties+xml"/>
  <Override PartName="/word/theme/themeOverride24.xml" ContentType="application/vnd.openxmlformats-officedocument.themeOverride+xml"/>
  <Override PartName="/word/theme/themeOverride35.xml" ContentType="application/vnd.openxmlformats-officedocument.themeOverride+xml"/>
  <Override PartName="/word/theme/themeOverride53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42.xml" ContentType="application/vnd.openxmlformats-officedocument.themeOverride+xml"/>
  <Override PartName="/word/theme/themeOverride60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theme/themeOverride47.xml" ContentType="application/vnd.openxmlformats-officedocument.themeOverride+xml"/>
  <Override PartName="/word/theme/themeOverride58.xml" ContentType="application/vnd.openxmlformats-officedocument.themeOverride+xml"/>
  <Override PartName="/word/charts/chart60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36.xml" ContentType="application/vnd.openxmlformats-officedocument.themeOverride+xml"/>
  <Override PartName="/word/theme/themeOverride65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4" w:rsidRPr="000538EF" w:rsidRDefault="003F774E" w:rsidP="000538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38EF">
        <w:rPr>
          <w:rFonts w:ascii="Times New Roman" w:hAnsi="Times New Roman" w:cs="Times New Roman"/>
          <w:b/>
          <w:sz w:val="40"/>
          <w:szCs w:val="40"/>
          <w:u w:val="single"/>
        </w:rPr>
        <w:t>Výsledky dotazníkového šetření</w:t>
      </w:r>
    </w:p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F774E" w:rsidRPr="003F774E" w:rsidTr="003F774E">
        <w:trPr>
          <w:trHeight w:val="765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F774E" w:rsidRPr="003F774E" w:rsidTr="003F774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vodovod a nový vrt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milionů</w:t>
            </w:r>
          </w:p>
        </w:tc>
      </w:tr>
    </w:tbl>
    <w:p w:rsidR="003F774E" w:rsidRDefault="003F774E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3095626" cy="2495550"/>
            <wp:effectExtent l="19050" t="0" r="28574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774E" w:rsidRDefault="003F774E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3164097" cy="2432649"/>
            <wp:effectExtent l="19050" t="0" r="17253" b="5751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774E" w:rsidRDefault="003F774E"/>
    <w:p w:rsidR="003F774E" w:rsidRDefault="003F774E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F774E" w:rsidRPr="003F774E" w:rsidTr="003F774E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F774E" w:rsidRPr="003F774E" w:rsidTr="003F774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odkanalizovaní obce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milionů</w:t>
            </w:r>
          </w:p>
        </w:tc>
      </w:tr>
    </w:tbl>
    <w:p w:rsidR="003F774E" w:rsidRDefault="003F774E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774E" w:rsidRDefault="003F774E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F774E" w:rsidRPr="003F774E" w:rsidTr="003F774E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F774E" w:rsidRPr="003F774E" w:rsidTr="003F774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rekonstrukce veřejného osvětlení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milion</w:t>
            </w:r>
          </w:p>
        </w:tc>
      </w:tr>
    </w:tbl>
    <w:p w:rsidR="003F774E" w:rsidRDefault="003F774E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74E" w:rsidRDefault="003F774E"/>
    <w:p w:rsidR="003F774E" w:rsidRDefault="003F774E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F774E" w:rsidRPr="003F774E" w:rsidTr="003F774E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F774E" w:rsidRPr="003F774E" w:rsidTr="003F774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bezdrátový rozhlas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 tisíc</w:t>
            </w:r>
          </w:p>
        </w:tc>
      </w:tr>
    </w:tbl>
    <w:p w:rsidR="003F774E" w:rsidRDefault="003F774E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3F774E" w:rsidRPr="003F774E" w:rsidTr="003F774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74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F774E" w:rsidRPr="003F774E" w:rsidTr="003F774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4E" w:rsidRPr="003F774E" w:rsidRDefault="003F774E" w:rsidP="003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</w:tbl>
    <w:p w:rsidR="003F774E" w:rsidRDefault="003F774E"/>
    <w:p w:rsidR="003F774E" w:rsidRDefault="003F774E">
      <w:r w:rsidRPr="003F774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74E" w:rsidRDefault="003F774E"/>
    <w:p w:rsidR="003F774E" w:rsidRDefault="003F774E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8E7E9F" w:rsidRPr="008E7E9F" w:rsidTr="008E7E9F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8E7E9F" w:rsidRPr="008E7E9F" w:rsidTr="008E7E9F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zbudování chodníků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miliony</w:t>
            </w:r>
          </w:p>
        </w:tc>
      </w:tr>
    </w:tbl>
    <w:p w:rsidR="008E7E9F" w:rsidRDefault="008E7E9F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8E7E9F" w:rsidRPr="008E7E9F" w:rsidTr="008E7E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E7E9F" w:rsidRPr="008E7E9F" w:rsidTr="008E7E9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</w:tbl>
    <w:p w:rsidR="003F774E" w:rsidRDefault="003F774E"/>
    <w:p w:rsidR="008E7E9F" w:rsidRDefault="008E7E9F">
      <w:r w:rsidRPr="008E7E9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8E7E9F" w:rsidRPr="008E7E9F" w:rsidTr="008E7E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E7E9F" w:rsidRPr="008E7E9F" w:rsidTr="008E7E9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8E7E9F" w:rsidRDefault="008E7E9F"/>
    <w:p w:rsidR="008E7E9F" w:rsidRDefault="008E7E9F">
      <w:r w:rsidRPr="008E7E9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7E9F" w:rsidRDefault="008E7E9F"/>
    <w:p w:rsidR="008E7E9F" w:rsidRDefault="008E7E9F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8E7E9F" w:rsidRPr="008E7E9F" w:rsidTr="008E7E9F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8E7E9F" w:rsidRPr="008E7E9F" w:rsidTr="008E7E9F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zbudování přechodů pro chodce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tisíc</w:t>
            </w:r>
          </w:p>
        </w:tc>
      </w:tr>
    </w:tbl>
    <w:p w:rsidR="008E7E9F" w:rsidRDefault="008E7E9F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8E7E9F" w:rsidRPr="008E7E9F" w:rsidTr="008E7E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E7E9F" w:rsidRPr="008E7E9F" w:rsidTr="008E7E9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</w:tbl>
    <w:p w:rsidR="008E7E9F" w:rsidRDefault="008E7E9F"/>
    <w:p w:rsidR="008E7E9F" w:rsidRDefault="008E7E9F">
      <w:r w:rsidRPr="008E7E9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8E7E9F" w:rsidRPr="008E7E9F" w:rsidTr="008E7E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E9F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E7E9F" w:rsidRPr="008E7E9F" w:rsidTr="008E7E9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F" w:rsidRPr="008E7E9F" w:rsidRDefault="008E7E9F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</w:tbl>
    <w:p w:rsidR="008E7E9F" w:rsidRDefault="008E7E9F"/>
    <w:p w:rsidR="008E7E9F" w:rsidRDefault="008E7E9F">
      <w:r w:rsidRPr="008E7E9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7E9F" w:rsidRDefault="008E7E9F"/>
    <w:p w:rsidR="008E7E9F" w:rsidRDefault="008E7E9F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DD400E" w:rsidRPr="00DD400E" w:rsidTr="00DD400E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DD400E" w:rsidRPr="00DD400E" w:rsidTr="00DD400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stávajících místních komunikací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miliony</w:t>
            </w:r>
          </w:p>
        </w:tc>
      </w:tr>
    </w:tbl>
    <w:p w:rsidR="00DD400E" w:rsidRDefault="00DD400E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DD400E" w:rsidRPr="00DD400E" w:rsidTr="00DD400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DD400E" w:rsidRPr="00DD400E" w:rsidTr="00DD400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8E7E9F" w:rsidRDefault="008E7E9F"/>
    <w:p w:rsidR="00DD400E" w:rsidRDefault="00DD400E">
      <w:r w:rsidRPr="00DD400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DD400E" w:rsidRPr="00DD400E" w:rsidTr="00DD400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DD400E" w:rsidRPr="00DD400E" w:rsidTr="00DD400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DD400E" w:rsidRDefault="00DD400E"/>
    <w:p w:rsidR="00DD400E" w:rsidRDefault="00DD400E">
      <w:r w:rsidRPr="00DD400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400E" w:rsidRDefault="00DD400E"/>
    <w:p w:rsidR="00DD400E" w:rsidRDefault="00DD400E"/>
    <w:tbl>
      <w:tblPr>
        <w:tblW w:w="6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15"/>
        <w:gridCol w:w="1567"/>
      </w:tblGrid>
      <w:tr w:rsidR="00DD400E" w:rsidRPr="00DD400E" w:rsidTr="00DD400E">
        <w:trPr>
          <w:trHeight w:val="630"/>
        </w:trPr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DD400E" w:rsidRPr="00DD400E" w:rsidTr="00DD400E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vytvoření opatření pro zlepšení dopravní situace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tisíc</w:t>
            </w:r>
          </w:p>
        </w:tc>
      </w:tr>
    </w:tbl>
    <w:p w:rsidR="00DD400E" w:rsidRDefault="00DD400E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DD400E" w:rsidRPr="00DD400E" w:rsidTr="00DD400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DD400E" w:rsidRPr="00DD400E" w:rsidTr="00DD400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DD400E" w:rsidRDefault="00DD400E"/>
    <w:p w:rsidR="00DD400E" w:rsidRDefault="00DD400E">
      <w:r w:rsidRPr="00DD400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DD400E" w:rsidRPr="00DD400E" w:rsidTr="00DD400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400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DD400E" w:rsidRPr="00DD400E" w:rsidTr="00DD400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0E" w:rsidRPr="00DD400E" w:rsidRDefault="00DD400E" w:rsidP="00D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DD400E" w:rsidRDefault="00DD400E"/>
    <w:p w:rsidR="00DD400E" w:rsidRDefault="00DD400E">
      <w:r w:rsidRPr="00DD400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400E" w:rsidRDefault="00DD400E"/>
    <w:p w:rsidR="00DD400E" w:rsidRDefault="00DD400E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045C98" w:rsidRPr="00045C98" w:rsidTr="00045C98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045C98" w:rsidRPr="00045C98" w:rsidTr="00045C98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kamerový systém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DD400E" w:rsidRDefault="00DD400E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045C98" w:rsidRPr="00045C98" w:rsidTr="00045C9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045C98" w:rsidRPr="00045C98" w:rsidTr="00045C9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</w:tr>
    </w:tbl>
    <w:p w:rsidR="00045C98" w:rsidRDefault="00045C98"/>
    <w:p w:rsidR="00045C98" w:rsidRDefault="00045C98">
      <w:r w:rsidRPr="00045C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045C98" w:rsidRPr="00045C98" w:rsidTr="00045C9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C9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045C98" w:rsidRPr="00045C98" w:rsidTr="00045C9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98" w:rsidRPr="00045C98" w:rsidRDefault="00045C98" w:rsidP="000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045C98" w:rsidRDefault="00045C98"/>
    <w:p w:rsidR="00045C98" w:rsidRDefault="00045C98">
      <w:r w:rsidRPr="00045C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5C98" w:rsidRDefault="00045C98"/>
    <w:p w:rsidR="00045C98" w:rsidRDefault="00045C98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E32313" w:rsidRPr="00E32313" w:rsidTr="00E32313">
        <w:trPr>
          <w:trHeight w:val="39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E32313" w:rsidRPr="00E32313" w:rsidTr="00E32313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zachování a rozšíření kulturních akcí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045C98" w:rsidRDefault="00045C98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E32313" w:rsidRPr="00E32313" w:rsidTr="00E3231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32313" w:rsidRPr="00E32313" w:rsidTr="00E3231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E32313" w:rsidRDefault="00E32313"/>
    <w:p w:rsidR="00E32313" w:rsidRDefault="00E32313">
      <w:r w:rsidRPr="00E32313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E32313" w:rsidRPr="00E32313" w:rsidTr="00E3231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313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32313" w:rsidRPr="00E32313" w:rsidTr="00E3231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13" w:rsidRPr="00E32313" w:rsidRDefault="00E32313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E32313" w:rsidRDefault="00E32313"/>
    <w:p w:rsidR="00E32313" w:rsidRDefault="00E32313">
      <w:r w:rsidRPr="00E32313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2313" w:rsidRDefault="00E32313"/>
    <w:p w:rsidR="00E32313" w:rsidRDefault="00E32313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70526" w:rsidRPr="00470526" w:rsidTr="00470526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70526" w:rsidRPr="00470526" w:rsidTr="00470526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rekonstrukce prostor pro setkávání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milion</w:t>
            </w:r>
          </w:p>
        </w:tc>
      </w:tr>
    </w:tbl>
    <w:p w:rsidR="00E32313" w:rsidRDefault="00E32313"/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470526" w:rsidRPr="00470526" w:rsidTr="0047052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70526" w:rsidRPr="00470526" w:rsidTr="0047052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</w:tbl>
    <w:p w:rsidR="00470526" w:rsidRDefault="00470526"/>
    <w:p w:rsidR="00470526" w:rsidRDefault="00470526">
      <w:r w:rsidRPr="00470526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4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0"/>
        <w:gridCol w:w="1340"/>
        <w:gridCol w:w="1440"/>
      </w:tblGrid>
      <w:tr w:rsidR="00470526" w:rsidRPr="00470526" w:rsidTr="0047052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526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70526" w:rsidRPr="00470526" w:rsidTr="0047052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26" w:rsidRPr="00470526" w:rsidRDefault="00470526" w:rsidP="004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470526" w:rsidRDefault="00470526"/>
    <w:p w:rsidR="00470526" w:rsidRDefault="00470526">
      <w:r w:rsidRPr="00470526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70526" w:rsidRDefault="00470526"/>
    <w:p w:rsidR="00470526" w:rsidRDefault="00470526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E0732A" w:rsidRPr="00E0732A" w:rsidTr="00E0732A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E0732A" w:rsidRPr="00E0732A" w:rsidTr="00E0732A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organizace brigád se zapojením obyvatel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tisíc</w:t>
            </w:r>
          </w:p>
        </w:tc>
      </w:tr>
    </w:tbl>
    <w:p w:rsidR="00470526" w:rsidRDefault="00470526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0732A" w:rsidRPr="00E0732A" w:rsidTr="00E073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0732A" w:rsidRPr="00E0732A" w:rsidTr="00E073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E0732A" w:rsidRDefault="00E0732A"/>
    <w:p w:rsidR="00E0732A" w:rsidRDefault="00E0732A">
      <w:r w:rsidRPr="00E073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0732A" w:rsidRPr="00E0732A" w:rsidTr="00E073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0732A" w:rsidRPr="00E0732A" w:rsidTr="00E073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</w:tbl>
    <w:p w:rsidR="00E0732A" w:rsidRDefault="00E0732A"/>
    <w:p w:rsidR="00E0732A" w:rsidRDefault="00E0732A">
      <w:r w:rsidRPr="00E073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0732A" w:rsidRDefault="00E0732A"/>
    <w:p w:rsidR="00E0732A" w:rsidRDefault="00E0732A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E0732A" w:rsidRPr="00E0732A" w:rsidTr="00E0732A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E0732A" w:rsidRPr="00E0732A" w:rsidTr="00E0732A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podpora rozvoje volnočasových aktivit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E0732A" w:rsidRDefault="00E0732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0732A" w:rsidRPr="00E0732A" w:rsidTr="00E073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0732A" w:rsidRPr="00E0732A" w:rsidTr="00E073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E0732A" w:rsidRDefault="00E0732A"/>
    <w:p w:rsidR="00E0732A" w:rsidRDefault="00E0732A">
      <w:r w:rsidRPr="00E073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732A" w:rsidRDefault="00E0732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0732A" w:rsidRPr="00E0732A" w:rsidTr="00E073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3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0732A" w:rsidRPr="00E0732A" w:rsidTr="00E073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A" w:rsidRPr="00E0732A" w:rsidRDefault="00E0732A" w:rsidP="00E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E0732A" w:rsidRDefault="00E0732A"/>
    <w:p w:rsidR="00E0732A" w:rsidRDefault="00E0732A">
      <w:r w:rsidRPr="00E073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0732A" w:rsidRDefault="00E0732A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B068DE" w:rsidRPr="00B068DE" w:rsidTr="00B068DE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B068DE" w:rsidRPr="00B068DE" w:rsidTr="00B068DE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využití </w:t>
            </w:r>
            <w:proofErr w:type="spellStart"/>
            <w:proofErr w:type="gramStart"/>
            <w:r w:rsidRPr="00B06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II.patra</w:t>
            </w:r>
            <w:proofErr w:type="spellEnd"/>
            <w:proofErr w:type="gramEnd"/>
            <w:r w:rsidRPr="00B06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budovy KD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milionů</w:t>
            </w:r>
          </w:p>
        </w:tc>
      </w:tr>
    </w:tbl>
    <w:p w:rsidR="00E0732A" w:rsidRDefault="00E0732A"/>
    <w:p w:rsidR="00B068DE" w:rsidRDefault="00B068DE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B068DE" w:rsidRPr="00B068DE" w:rsidTr="00B068D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B068DE" w:rsidRPr="00B068DE" w:rsidTr="00B068D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</w:tbl>
    <w:p w:rsidR="00B068DE" w:rsidRDefault="00B068DE"/>
    <w:p w:rsidR="00B068DE" w:rsidRDefault="00B068DE">
      <w:r w:rsidRPr="00B068D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068DE" w:rsidRDefault="00B068DE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B068DE" w:rsidRPr="00B068DE" w:rsidTr="00B068D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68DE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B068DE" w:rsidRPr="00B068DE" w:rsidTr="00B068D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B068DE" w:rsidRDefault="00B068DE" w:rsidP="00B0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B068DE" w:rsidRDefault="00B068DE"/>
    <w:p w:rsidR="00B068DE" w:rsidRDefault="00B068DE">
      <w:r w:rsidRPr="00B068DE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07275" w:rsidRPr="00307275" w:rsidTr="00307275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07275" w:rsidRPr="00307275" w:rsidTr="00307275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vybudování multifunkční plochy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 tisíc</w:t>
            </w:r>
          </w:p>
        </w:tc>
      </w:tr>
    </w:tbl>
    <w:p w:rsidR="00307275" w:rsidRDefault="00307275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07275" w:rsidRPr="00307275" w:rsidTr="0030727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07275" w:rsidRPr="00307275" w:rsidTr="0030727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</w:tbl>
    <w:p w:rsidR="00307275" w:rsidRDefault="00307275"/>
    <w:p w:rsidR="00307275" w:rsidRDefault="00307275">
      <w:r w:rsidRPr="00307275">
        <w:rPr>
          <w:noProof/>
          <w:lang w:eastAsia="cs-CZ"/>
        </w:rPr>
        <w:drawing>
          <wp:inline distT="0" distB="0" distL="0" distR="0">
            <wp:extent cx="4294158" cy="2622430"/>
            <wp:effectExtent l="19050" t="0" r="11142" b="647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07275" w:rsidRDefault="00307275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07275" w:rsidRPr="00307275" w:rsidTr="0030727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275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07275" w:rsidRPr="00307275" w:rsidTr="0030727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75" w:rsidRPr="00307275" w:rsidRDefault="00307275" w:rsidP="003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</w:tbl>
    <w:p w:rsidR="00307275" w:rsidRDefault="00307275"/>
    <w:p w:rsidR="00307275" w:rsidRDefault="00307275">
      <w:r w:rsidRPr="00307275">
        <w:rPr>
          <w:noProof/>
          <w:lang w:eastAsia="cs-CZ"/>
        </w:rPr>
        <w:drawing>
          <wp:inline distT="0" distB="0" distL="0" distR="0">
            <wp:extent cx="4291989" cy="2838091"/>
            <wp:effectExtent l="19050" t="0" r="13311" b="359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07275" w:rsidRDefault="00307275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AB0F36" w:rsidRPr="00AB0F36" w:rsidTr="00AB0F36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AB0F36" w:rsidRPr="00AB0F36" w:rsidTr="00AB0F36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výkup pozemků na rybník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 tisíc</w:t>
            </w:r>
          </w:p>
        </w:tc>
      </w:tr>
    </w:tbl>
    <w:p w:rsidR="00307275" w:rsidRDefault="00307275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AB0F36" w:rsidRPr="00AB0F36" w:rsidTr="00AB0F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F36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F36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F36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AB0F36" w:rsidRPr="00AB0F36" w:rsidTr="00AB0F3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6" w:rsidRPr="00AB0F36" w:rsidRDefault="00AB0F36" w:rsidP="00AB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</w:tbl>
    <w:p w:rsidR="00AB0F36" w:rsidRDefault="00AB0F36"/>
    <w:p w:rsidR="00AB0F36" w:rsidRDefault="00AB0F36">
      <w:r w:rsidRPr="00AB0F36">
        <w:rPr>
          <w:noProof/>
          <w:lang w:eastAsia="cs-CZ"/>
        </w:rPr>
        <w:drawing>
          <wp:inline distT="0" distB="0" distL="0" distR="0">
            <wp:extent cx="4291989" cy="2467154"/>
            <wp:effectExtent l="19050" t="0" r="13311" b="9346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205AA" w:rsidRDefault="005205A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5205AA" w:rsidRPr="005205AA" w:rsidTr="005205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5205AA" w:rsidRPr="005205AA" w:rsidTr="005205A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</w:tbl>
    <w:p w:rsidR="005205AA" w:rsidRDefault="005205AA"/>
    <w:p w:rsidR="005205AA" w:rsidRDefault="005205AA">
      <w:r w:rsidRPr="005205A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205AA" w:rsidRDefault="005205AA"/>
    <w:p w:rsidR="005205AA" w:rsidRDefault="005205AA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5205AA" w:rsidRPr="005205AA" w:rsidTr="005205AA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5205AA" w:rsidRPr="005205AA" w:rsidTr="005205AA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205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vybudouvání</w:t>
            </w:r>
            <w:proofErr w:type="spellEnd"/>
            <w:r w:rsidRPr="005205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rybníku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miliony</w:t>
            </w:r>
          </w:p>
        </w:tc>
      </w:tr>
    </w:tbl>
    <w:p w:rsidR="005205AA" w:rsidRDefault="005205A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5205AA" w:rsidRPr="005205AA" w:rsidTr="005205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5205AA" w:rsidRPr="005205AA" w:rsidTr="005205A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5205AA" w:rsidRDefault="005205AA"/>
    <w:p w:rsidR="005205AA" w:rsidRDefault="005205AA">
      <w:r w:rsidRPr="005205A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5205AA" w:rsidRPr="005205AA" w:rsidTr="005205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05A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5205AA" w:rsidRPr="005205AA" w:rsidTr="005205A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AA" w:rsidRPr="005205AA" w:rsidRDefault="005205AA" w:rsidP="005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</w:tbl>
    <w:p w:rsidR="005205AA" w:rsidRDefault="005205AA"/>
    <w:p w:rsidR="005205AA" w:rsidRDefault="005205AA">
      <w:r w:rsidRPr="005205A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8" name="Graf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80BE0" w:rsidRDefault="00480BE0"/>
    <w:p w:rsidR="00480BE0" w:rsidRDefault="00480BE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78"/>
        <w:gridCol w:w="1722"/>
      </w:tblGrid>
      <w:tr w:rsidR="00480BE0" w:rsidRPr="00480BE0" w:rsidTr="00480BE0">
        <w:trPr>
          <w:trHeight w:val="645"/>
        </w:trPr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80BE0" w:rsidRPr="00480BE0" w:rsidTr="00480BE0">
        <w:trPr>
          <w:trHeight w:val="3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vytvoření informačního navigačního systému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tisíc</w:t>
            </w:r>
          </w:p>
        </w:tc>
      </w:tr>
    </w:tbl>
    <w:p w:rsidR="00480BE0" w:rsidRDefault="00480BE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233773" cy="2553419"/>
            <wp:effectExtent l="19050" t="0" r="14377" b="0"/>
            <wp:docPr id="49" name="Graf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0" name="Graf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80BE0" w:rsidRDefault="00480BE0"/>
    <w:p w:rsidR="00480BE0" w:rsidRDefault="00480BE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80BE0" w:rsidRPr="00480BE0" w:rsidTr="00480BE0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80BE0" w:rsidRPr="00480BE0" w:rsidTr="00480BE0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ozvláštnění veřejných prostranství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tisíc</w:t>
            </w:r>
          </w:p>
        </w:tc>
      </w:tr>
    </w:tbl>
    <w:p w:rsidR="00480BE0" w:rsidRDefault="00480BE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2" name="Graf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80BE0" w:rsidRDefault="00480BE0"/>
    <w:p w:rsidR="00480BE0" w:rsidRDefault="00480BE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80BE0" w:rsidRPr="00480BE0" w:rsidTr="00480BE0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80BE0" w:rsidRPr="00480BE0" w:rsidTr="00480BE0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využití kostela i pro veřejnost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480BE0" w:rsidRDefault="00480BE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80BE0" w:rsidRPr="00480BE0" w:rsidTr="00480BE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0BE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80BE0" w:rsidRPr="00480BE0" w:rsidTr="00480BE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E0" w:rsidRPr="00480BE0" w:rsidRDefault="00480BE0" w:rsidP="0048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8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480BE0" w:rsidRDefault="00480BE0"/>
    <w:p w:rsidR="00480BE0" w:rsidRDefault="00480BE0">
      <w:r w:rsidRPr="00480BE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80BE0" w:rsidRDefault="00480BE0"/>
    <w:p w:rsidR="00480BE0" w:rsidRDefault="00480BE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C90B55" w:rsidRPr="00C90B55" w:rsidTr="00C90B55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B55" w:rsidRPr="00C90B55" w:rsidRDefault="00C90B55" w:rsidP="00C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55" w:rsidRPr="00C90B55" w:rsidRDefault="00C90B55" w:rsidP="00C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C90B55" w:rsidRPr="00C90B55" w:rsidTr="00C90B55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0B55" w:rsidRPr="00C90B55" w:rsidRDefault="00C90B55" w:rsidP="00C90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0B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navázat partnerství s obcemi EU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0B55" w:rsidRPr="00C90B55" w:rsidRDefault="00C90B55" w:rsidP="00C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480BE0" w:rsidRDefault="00480BE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83638" w:rsidRPr="00E83638" w:rsidTr="00E836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83638" w:rsidRPr="00E83638" w:rsidTr="00E836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</w:tbl>
    <w:p w:rsidR="00C90B55" w:rsidRDefault="00C90B55"/>
    <w:p w:rsidR="00E83638" w:rsidRDefault="00E83638">
      <w:r w:rsidRPr="00E836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83638" w:rsidRDefault="00E8363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E83638" w:rsidRPr="00E83638" w:rsidTr="00E836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6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E83638" w:rsidRPr="00E83638" w:rsidTr="00E836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8" w:rsidRPr="00E83638" w:rsidRDefault="00E83638" w:rsidP="00E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E83638" w:rsidRDefault="00E83638"/>
    <w:p w:rsidR="00E83638" w:rsidRDefault="00E83638">
      <w:r w:rsidRPr="00E836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83638" w:rsidRDefault="00E83638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0754A" w:rsidRPr="0040754A" w:rsidTr="0040754A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0754A" w:rsidRPr="0040754A" w:rsidTr="0040754A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zlepšení spolupráce v rámci </w:t>
            </w:r>
            <w:proofErr w:type="spellStart"/>
            <w:r w:rsidRPr="004075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mikroregionu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tisíc</w:t>
            </w:r>
          </w:p>
        </w:tc>
      </w:tr>
    </w:tbl>
    <w:p w:rsidR="00E83638" w:rsidRDefault="00E8363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0754A" w:rsidRPr="0040754A" w:rsidTr="0040754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0754A" w:rsidRPr="0040754A" w:rsidTr="0040754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40754A" w:rsidRDefault="0040754A"/>
    <w:p w:rsidR="0040754A" w:rsidRDefault="0040754A">
      <w:r w:rsidRPr="0040754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0754A" w:rsidRPr="0040754A" w:rsidTr="0040754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0754A" w:rsidRPr="0040754A" w:rsidTr="0040754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40754A" w:rsidRDefault="0040754A"/>
    <w:p w:rsidR="0040754A" w:rsidRDefault="0040754A">
      <w:r w:rsidRPr="0040754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0754A" w:rsidRDefault="0040754A"/>
    <w:p w:rsidR="0040754A" w:rsidRDefault="0040754A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0754A" w:rsidRPr="0040754A" w:rsidTr="0040754A">
        <w:trPr>
          <w:trHeight w:val="645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0754A" w:rsidRPr="0040754A" w:rsidTr="0040754A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kostela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milion</w:t>
            </w:r>
          </w:p>
        </w:tc>
      </w:tr>
    </w:tbl>
    <w:p w:rsidR="0040754A" w:rsidRDefault="0040754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0754A" w:rsidRPr="0040754A" w:rsidTr="0040754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0754A" w:rsidRPr="0040754A" w:rsidTr="0040754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40754A" w:rsidRDefault="0040754A"/>
    <w:p w:rsidR="0040754A" w:rsidRDefault="0040754A">
      <w:r w:rsidRPr="0040754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0" name="Graf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0754A" w:rsidRDefault="0040754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0754A" w:rsidRPr="0040754A" w:rsidTr="0040754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54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0754A" w:rsidRPr="0040754A" w:rsidTr="0040754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4A" w:rsidRPr="0040754A" w:rsidRDefault="0040754A" w:rsidP="0040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40754A" w:rsidRDefault="0040754A"/>
    <w:p w:rsidR="0040754A" w:rsidRDefault="0040754A">
      <w:r w:rsidRPr="0040754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1" name="Graf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0754A" w:rsidRDefault="0040754A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8645B4" w:rsidRPr="008645B4" w:rsidTr="008645B4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8645B4" w:rsidRPr="008645B4" w:rsidTr="008645B4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vybudování památníku 1. světové války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tisíc</w:t>
            </w:r>
          </w:p>
        </w:tc>
      </w:tr>
    </w:tbl>
    <w:p w:rsidR="0040754A" w:rsidRDefault="0040754A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645B4" w:rsidRPr="008645B4" w:rsidTr="008645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645B4" w:rsidRPr="008645B4" w:rsidTr="008645B4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</w:tbl>
    <w:p w:rsidR="008645B4" w:rsidRDefault="008645B4"/>
    <w:p w:rsidR="008645B4" w:rsidRDefault="008645B4">
      <w:r w:rsidRPr="008645B4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2" name="Graf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645B4" w:rsidRDefault="008645B4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645B4" w:rsidRPr="008645B4" w:rsidTr="008645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645B4" w:rsidRPr="008645B4" w:rsidTr="008645B4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8645B4" w:rsidRDefault="008645B4"/>
    <w:p w:rsidR="008645B4" w:rsidRDefault="008645B4">
      <w:r w:rsidRPr="008645B4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3" name="Graf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645B4" w:rsidRDefault="008645B4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8645B4" w:rsidRPr="008645B4" w:rsidTr="008645B4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8645B4" w:rsidRPr="008645B4" w:rsidTr="008645B4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hřbitovní zdi, márnice, oplocení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 tisíc</w:t>
            </w:r>
          </w:p>
        </w:tc>
      </w:tr>
    </w:tbl>
    <w:p w:rsidR="008645B4" w:rsidRDefault="008645B4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645B4" w:rsidRPr="008645B4" w:rsidTr="008645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645B4" w:rsidRPr="008645B4" w:rsidTr="008645B4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8645B4" w:rsidRDefault="008645B4"/>
    <w:p w:rsidR="008645B4" w:rsidRDefault="008645B4">
      <w:r w:rsidRPr="008645B4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4" name="Graf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645B4" w:rsidRDefault="008645B4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645B4" w:rsidRPr="008645B4" w:rsidTr="008645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45B4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645B4" w:rsidRPr="008645B4" w:rsidTr="008645B4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4" w:rsidRPr="008645B4" w:rsidRDefault="008645B4" w:rsidP="0086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8645B4" w:rsidRDefault="008645B4"/>
    <w:p w:rsidR="008645B4" w:rsidRDefault="008645B4">
      <w:r w:rsidRPr="008645B4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645B4" w:rsidRDefault="008645B4"/>
    <w:tbl>
      <w:tblPr>
        <w:tblW w:w="6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15"/>
        <w:gridCol w:w="1567"/>
      </w:tblGrid>
      <w:tr w:rsidR="003C40F0" w:rsidRPr="003C40F0" w:rsidTr="003C40F0">
        <w:trPr>
          <w:trHeight w:val="630"/>
        </w:trPr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C40F0" w:rsidRPr="003C40F0" w:rsidTr="003C40F0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střechy kostela, mříž do hlavního vchodu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miliony</w:t>
            </w:r>
          </w:p>
        </w:tc>
      </w:tr>
    </w:tbl>
    <w:p w:rsidR="008645B4" w:rsidRDefault="008645B4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7" name="Graf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8" name="Graf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C40F0" w:rsidRDefault="003C40F0"/>
    <w:p w:rsidR="003C40F0" w:rsidRDefault="003C40F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C40F0" w:rsidRPr="003C40F0" w:rsidTr="003C40F0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C40F0" w:rsidRPr="003C40F0" w:rsidTr="003C40F0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rekonstrukce KD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miliony</w:t>
            </w:r>
          </w:p>
        </w:tc>
      </w:tr>
    </w:tbl>
    <w:p w:rsidR="003C40F0" w:rsidRDefault="003C40F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0" name="Graf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C40F0" w:rsidRDefault="003C40F0"/>
    <w:p w:rsidR="003C40F0" w:rsidRDefault="003C40F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C40F0" w:rsidRPr="003C40F0" w:rsidTr="003C40F0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C40F0" w:rsidRPr="003C40F0" w:rsidTr="003C40F0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rekonstrukce zdi u OÚ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 tisíc</w:t>
            </w:r>
          </w:p>
        </w:tc>
      </w:tr>
    </w:tbl>
    <w:p w:rsidR="003C40F0" w:rsidRDefault="003C40F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1" name="Graf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3C40F0" w:rsidRPr="003C40F0" w:rsidTr="003C40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3C40F0" w:rsidRPr="003C40F0" w:rsidTr="003C40F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3C40F0" w:rsidRDefault="003C40F0"/>
    <w:p w:rsidR="003C40F0" w:rsidRDefault="003C40F0">
      <w:r w:rsidRPr="003C40F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2" name="Graf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C40F0" w:rsidRDefault="003C40F0"/>
    <w:p w:rsidR="003C40F0" w:rsidRDefault="003C40F0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3C40F0" w:rsidRPr="003C40F0" w:rsidTr="003C40F0">
        <w:trPr>
          <w:trHeight w:val="675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C40F0" w:rsidRPr="003C40F0" w:rsidTr="003C40F0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údržba veřejné zeleně, vzrostlých stromů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0F0" w:rsidRPr="003C40F0" w:rsidRDefault="003C40F0" w:rsidP="003C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3C40F0" w:rsidRDefault="003C40F0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26D2A" w:rsidRPr="00826D2A" w:rsidTr="00826D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26D2A" w:rsidRPr="00826D2A" w:rsidTr="00826D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3C40F0" w:rsidRDefault="003C40F0"/>
    <w:p w:rsidR="00826D2A" w:rsidRDefault="00826D2A">
      <w:r w:rsidRPr="00826D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3" name="Graf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826D2A" w:rsidRPr="00826D2A" w:rsidTr="00826D2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6D2A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826D2A" w:rsidRPr="00826D2A" w:rsidTr="00826D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2A" w:rsidRPr="00826D2A" w:rsidRDefault="00826D2A" w:rsidP="0082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826D2A" w:rsidRDefault="00826D2A"/>
    <w:p w:rsidR="00826D2A" w:rsidRDefault="00826D2A">
      <w:r w:rsidRPr="00826D2A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4" name="Graf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26D2A" w:rsidRDefault="00826D2A"/>
    <w:p w:rsidR="0047117C" w:rsidRDefault="0047117C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47117C" w:rsidRPr="0047117C" w:rsidTr="0047117C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47117C" w:rsidRPr="0047117C" w:rsidTr="0047117C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výsadba zeleně na veřejných prostranstvích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47117C" w:rsidRDefault="0047117C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47117C" w:rsidRPr="0047117C" w:rsidTr="0047117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117C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117C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117C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47117C" w:rsidRPr="0047117C" w:rsidTr="0047117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7C" w:rsidRPr="0047117C" w:rsidRDefault="0047117C" w:rsidP="004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47117C" w:rsidRDefault="0047117C"/>
    <w:p w:rsidR="0047117C" w:rsidRDefault="005402B8">
      <w:r w:rsidRPr="005402B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5" name="Graf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5402B8" w:rsidRPr="005402B8" w:rsidTr="005402B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2B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2B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2B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5402B8" w:rsidRPr="005402B8" w:rsidTr="005402B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8" w:rsidRPr="005402B8" w:rsidRDefault="005402B8" w:rsidP="005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5402B8" w:rsidRDefault="005402B8"/>
    <w:p w:rsidR="005402B8" w:rsidRDefault="005402B8">
      <w:r w:rsidRPr="005402B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6" name="Graf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5402B8" w:rsidRDefault="005402B8"/>
    <w:p w:rsidR="005402B8" w:rsidRDefault="005402B8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F05438" w:rsidRPr="00F05438" w:rsidTr="00F05438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F05438" w:rsidRPr="00F05438" w:rsidTr="00F05438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územní plán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tisíc</w:t>
            </w:r>
          </w:p>
        </w:tc>
      </w:tr>
    </w:tbl>
    <w:p w:rsidR="005402B8" w:rsidRDefault="005402B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7" name="Graf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8" name="Graf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05438" w:rsidRDefault="00F05438"/>
    <w:p w:rsidR="00F05438" w:rsidRDefault="00F05438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F05438" w:rsidRPr="00F05438" w:rsidTr="00F05438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F05438" w:rsidRPr="00F05438" w:rsidTr="00F05438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zpravodaj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tisíc</w:t>
            </w:r>
          </w:p>
        </w:tc>
      </w:tr>
    </w:tbl>
    <w:p w:rsidR="00F05438" w:rsidRDefault="00F0543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9" name="Graf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80" name="Graf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F05438" w:rsidRDefault="00F05438"/>
    <w:p w:rsidR="00F05438" w:rsidRDefault="00F05438"/>
    <w:tbl>
      <w:tblPr>
        <w:tblW w:w="6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772"/>
      </w:tblGrid>
      <w:tr w:rsidR="00F05438" w:rsidRPr="00F05438" w:rsidTr="00F05438">
        <w:trPr>
          <w:trHeight w:val="630"/>
        </w:trPr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F05438" w:rsidRPr="00F05438" w:rsidTr="00F05438">
        <w:trPr>
          <w:trHeight w:val="31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tříděný odpad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tisíc</w:t>
            </w:r>
          </w:p>
        </w:tc>
      </w:tr>
    </w:tbl>
    <w:p w:rsidR="00F05438" w:rsidRDefault="00F0543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81" name="Graf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05438" w:rsidRDefault="00F05438"/>
    <w:tbl>
      <w:tblPr>
        <w:tblW w:w="4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1180"/>
        <w:gridCol w:w="1420"/>
      </w:tblGrid>
      <w:tr w:rsidR="00F05438" w:rsidRPr="00F05438" w:rsidTr="00F054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Velmi důležité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Důležité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438">
              <w:rPr>
                <w:rFonts w:ascii="Calibri" w:eastAsia="Times New Roman" w:hAnsi="Calibri" w:cs="Calibri"/>
                <w:color w:val="000000"/>
                <w:lang w:eastAsia="cs-CZ"/>
              </w:rPr>
              <w:t>Nedůležité</w:t>
            </w:r>
          </w:p>
        </w:tc>
      </w:tr>
      <w:tr w:rsidR="00F05438" w:rsidRPr="00F05438" w:rsidTr="00F0543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38" w:rsidRPr="00F05438" w:rsidRDefault="00F05438" w:rsidP="00F0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F05438" w:rsidRDefault="00F05438"/>
    <w:p w:rsidR="00F05438" w:rsidRDefault="00F05438">
      <w:r w:rsidRPr="00F0543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82" name="Graf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47117C" w:rsidRDefault="0047117C"/>
    <w:sectPr w:rsidR="0047117C" w:rsidSect="00FC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774E"/>
    <w:rsid w:val="00006CE6"/>
    <w:rsid w:val="00045C98"/>
    <w:rsid w:val="000538EF"/>
    <w:rsid w:val="00307275"/>
    <w:rsid w:val="003C40F0"/>
    <w:rsid w:val="003F774E"/>
    <w:rsid w:val="0040754A"/>
    <w:rsid w:val="00470526"/>
    <w:rsid w:val="0047117C"/>
    <w:rsid w:val="00480BE0"/>
    <w:rsid w:val="005205AA"/>
    <w:rsid w:val="005402B8"/>
    <w:rsid w:val="00826D2A"/>
    <w:rsid w:val="008645B4"/>
    <w:rsid w:val="008B40B9"/>
    <w:rsid w:val="008E7E9F"/>
    <w:rsid w:val="009F0C16"/>
    <w:rsid w:val="00AB0F36"/>
    <w:rsid w:val="00B068DE"/>
    <w:rsid w:val="00BB458F"/>
    <w:rsid w:val="00C90B55"/>
    <w:rsid w:val="00CA0AE7"/>
    <w:rsid w:val="00D74087"/>
    <w:rsid w:val="00DD400E"/>
    <w:rsid w:val="00E0732A"/>
    <w:rsid w:val="00E32313"/>
    <w:rsid w:val="00E83638"/>
    <w:rsid w:val="00F05438"/>
    <w:rsid w:val="00FC69A4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chart" Target="charts/chart47.xml"/><Relationship Id="rId55" Type="http://schemas.openxmlformats.org/officeDocument/2006/relationships/chart" Target="charts/chart52.xml"/><Relationship Id="rId63" Type="http://schemas.openxmlformats.org/officeDocument/2006/relationships/chart" Target="charts/chart60.xml"/><Relationship Id="rId68" Type="http://schemas.openxmlformats.org/officeDocument/2006/relationships/chart" Target="charts/chart65.xml"/><Relationship Id="rId7" Type="http://schemas.openxmlformats.org/officeDocument/2006/relationships/chart" Target="charts/chart4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3" Type="http://schemas.openxmlformats.org/officeDocument/2006/relationships/chart" Target="charts/chart50.xml"/><Relationship Id="rId58" Type="http://schemas.openxmlformats.org/officeDocument/2006/relationships/chart" Target="charts/chart55.xml"/><Relationship Id="rId66" Type="http://schemas.openxmlformats.org/officeDocument/2006/relationships/chart" Target="charts/chart63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57" Type="http://schemas.openxmlformats.org/officeDocument/2006/relationships/chart" Target="charts/chart54.xml"/><Relationship Id="rId61" Type="http://schemas.openxmlformats.org/officeDocument/2006/relationships/chart" Target="charts/chart58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52" Type="http://schemas.openxmlformats.org/officeDocument/2006/relationships/chart" Target="charts/chart49.xml"/><Relationship Id="rId60" Type="http://schemas.openxmlformats.org/officeDocument/2006/relationships/chart" Target="charts/chart57.xml"/><Relationship Id="rId65" Type="http://schemas.openxmlformats.org/officeDocument/2006/relationships/chart" Target="charts/chart62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56" Type="http://schemas.openxmlformats.org/officeDocument/2006/relationships/chart" Target="charts/chart53.xml"/><Relationship Id="rId64" Type="http://schemas.openxmlformats.org/officeDocument/2006/relationships/chart" Target="charts/chart61.xml"/><Relationship Id="rId69" Type="http://schemas.openxmlformats.org/officeDocument/2006/relationships/chart" Target="charts/chart66.xml"/><Relationship Id="rId8" Type="http://schemas.openxmlformats.org/officeDocument/2006/relationships/chart" Target="charts/chart5.xml"/><Relationship Id="rId51" Type="http://schemas.openxmlformats.org/officeDocument/2006/relationships/chart" Target="charts/chart48.xml"/><Relationship Id="rId3" Type="http://schemas.openxmlformats.org/officeDocument/2006/relationships/webSettings" Target="webSettings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59" Type="http://schemas.openxmlformats.org/officeDocument/2006/relationships/chart" Target="charts/chart56.xml"/><Relationship Id="rId67" Type="http://schemas.openxmlformats.org/officeDocument/2006/relationships/chart" Target="charts/chart64.xml"/><Relationship Id="rId20" Type="http://schemas.openxmlformats.org/officeDocument/2006/relationships/chart" Target="charts/chart17.xml"/><Relationship Id="rId41" Type="http://schemas.openxmlformats.org/officeDocument/2006/relationships/chart" Target="charts/chart38.xml"/><Relationship Id="rId54" Type="http://schemas.openxmlformats.org/officeDocument/2006/relationships/chart" Target="charts/chart51.xml"/><Relationship Id="rId62" Type="http://schemas.openxmlformats.org/officeDocument/2006/relationships/chart" Target="charts/chart59.xm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g.%20Janata\Desktop\Strategick&#253;%20rozvojov&#253;%20dokument%20obce\Vyhodnocen&#237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29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0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1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2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3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4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5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6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7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8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39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0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1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2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3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4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5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6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7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8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.xm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49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0.xm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1.xm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2.xm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3.xm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4.xm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5.xml"/></Relationships>
</file>

<file path=word/charts/_rels/chart5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6.xml"/></Relationships>
</file>

<file path=word/charts/_rels/chart5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7.xml"/></Relationships>
</file>

<file path=word/charts/_rels/chart5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8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.xml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59.xml"/></Relationships>
</file>

<file path=word/charts/_rels/chart6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0.xml"/></Relationships>
</file>

<file path=word/charts/_rels/chart6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1.xml"/></Relationships>
</file>

<file path=word/charts/_rels/chart6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2.xml"/></Relationships>
</file>

<file path=word/charts/_rels/chart6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3.xml"/></Relationships>
</file>

<file path=word/charts/_rels/chart6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4.xml"/></Relationships>
</file>

<file path=word/charts/_rels/chart6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g.%20Janata\Desktop\Strategick&#253;%20rozvojov&#253;%20dokument%20obce\Vyhodnocen&#237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/>
            </a:pPr>
            <a:r>
              <a:rPr lang="cs-CZ" sz="1400" baseline="0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5393875765529341"/>
                  <c:y val="0.12080512962195519"/>
                </c:manualLayout>
              </c:layout>
              <c:showPercent val="1"/>
            </c:dLbl>
            <c:dLbl>
              <c:idx val="1"/>
              <c:layout>
                <c:manualLayout>
                  <c:x val="-4.8695319335083115E-2"/>
                  <c:y val="-0.20812543168945991"/>
                </c:manualLayout>
              </c:layout>
              <c:showPercent val="1"/>
            </c:dLbl>
            <c:dLbl>
              <c:idx val="2"/>
              <c:layout>
                <c:manualLayout>
                  <c:x val="0.14738276465441819"/>
                  <c:y val="0.1151809642215775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List1!$H$8:$J$8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List1!$H$9:$J$9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List2!$B$34:$D$34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List2!$B$35:$D$35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>
        <c:manualLayout>
          <c:layoutTarget val="inner"/>
          <c:xMode val="edge"/>
          <c:yMode val="edge"/>
          <c:x val="0.19344247594050742"/>
          <c:y val="0.24786599591717723"/>
          <c:w val="0.38860258092738453"/>
          <c:h val="0.64767096821230674"/>
        </c:manualLayout>
      </c:layout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6.2272090988626516E-2"/>
                  <c:y val="0.13834900845727646"/>
                </c:manualLayout>
              </c:layout>
              <c:showPercent val="1"/>
            </c:dLbl>
            <c:dLbl>
              <c:idx val="1"/>
              <c:layout>
                <c:manualLayout>
                  <c:x val="-0.10425087489063867"/>
                  <c:y val="6.0149460484106153E-2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-0.1835520559930009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List2!$B$40:$D$40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List2!$B$41:$D$41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4606124234470692"/>
                  <c:y val="0.26334900845727616"/>
                </c:manualLayout>
              </c:layout>
              <c:showPercent val="1"/>
            </c:dLbl>
            <c:dLbl>
              <c:idx val="1"/>
              <c:layout>
                <c:manualLayout>
                  <c:x val="-0.10425087489063871"/>
                  <c:y val="0.12959390492855044"/>
                </c:manualLayout>
              </c:layout>
              <c:showPercent val="1"/>
            </c:dLbl>
            <c:dLbl>
              <c:idx val="2"/>
              <c:layout>
                <c:manualLayout>
                  <c:x val="0.10571609798775161"/>
                  <c:y val="-0.1881816856226306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List2!$B$43:$D$43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List2!$B$44:$D$44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-6.9984324876057172E-2"/>
                </c:manualLayout>
              </c:layout>
              <c:showPercent val="1"/>
            </c:dLbl>
            <c:dLbl>
              <c:idx val="1"/>
              <c:layout>
                <c:manualLayout>
                  <c:x val="0.14019356955380577"/>
                  <c:y val="4.5939049285505977E-3"/>
                </c:manualLayout>
              </c:layout>
              <c:showPercent val="1"/>
            </c:dLbl>
            <c:dLbl>
              <c:idx val="2"/>
              <c:layout>
                <c:manualLayout>
                  <c:x val="2.2382764654418196E-2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List2!$B$47:$D$47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List2!$B$48:$D$48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-0.18382436570428695"/>
                </c:manualLayout>
              </c:layout>
              <c:showPercent val="1"/>
            </c:dLbl>
            <c:dLbl>
              <c:idx val="1"/>
              <c:layout>
                <c:manualLayout>
                  <c:x val="0.10963801399825022"/>
                  <c:y val="0.10181612715077282"/>
                </c:manualLayout>
              </c:layout>
              <c:showPercent val="1"/>
            </c:dLbl>
            <c:dLbl>
              <c:idx val="2"/>
              <c:layout>
                <c:manualLayout>
                  <c:x val="2.2382764654418196E-2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List2!$B$50:$D$50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List2!$B$51:$D$51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List2!$B$54:$D$54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List2!$B$55:$D$55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7.9250874890638812E-2"/>
                  <c:y val="-0.16670239136774584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2.478127734033255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List2!$B$57:$D$57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List2!$B$58:$D$58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717235345581827"/>
                  <c:y val="0.26334900845727616"/>
                </c:manualLayout>
              </c:layout>
              <c:showPercent val="1"/>
            </c:dLbl>
            <c:dLbl>
              <c:idx val="1"/>
              <c:layout>
                <c:manualLayout>
                  <c:x val="-7.0917541557305425E-2"/>
                  <c:y val="0.14348279381743981"/>
                </c:manualLayout>
              </c:layout>
              <c:showPercent val="1"/>
            </c:dLbl>
            <c:dLbl>
              <c:idx val="2"/>
              <c:layout>
                <c:manualLayout>
                  <c:x val="0.11127165354330709"/>
                  <c:y val="-0.18354622338874321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List2!$B$61:$D$61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List2!$B$62:$D$62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439457567804084"/>
                  <c:y val="0.27260826771653546"/>
                </c:manualLayout>
              </c:layout>
              <c:showPercent val="1"/>
            </c:dLbl>
            <c:dLbl>
              <c:idx val="1"/>
              <c:layout>
                <c:manualLayout>
                  <c:x val="-9.3139763779527568E-2"/>
                  <c:y val="0.13422353455818023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-0.1938163458734327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List2!$B$64:$D$64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List2!$B$65:$D$65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občané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0.10963801399825022"/>
                  <c:y val="-0.21762831729367163"/>
                </c:manualLayout>
              </c:layout>
              <c:showPercent val="1"/>
            </c:dLbl>
            <c:dLbl>
              <c:idx val="2"/>
              <c:layout>
                <c:manualLayout>
                  <c:x val="-2.7617235345581775E-2"/>
                  <c:y val="-2.151501895596387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List2!$B$68:$D$68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List2!$B$69:$D$69</c:f>
              <c:numCache>
                <c:formatCode>General</c:formatCode>
                <c:ptCount val="3"/>
                <c:pt idx="0">
                  <c:v>8</c:v>
                </c:pt>
                <c:pt idx="1">
                  <c:v>29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r>
              <a:rPr lang="cs-CZ" sz="1400" baseline="0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783545595579403"/>
                  <c:y val="7.7962287479714981E-2"/>
                </c:manualLayout>
              </c:layout>
              <c:showPercent val="1"/>
            </c:dLbl>
            <c:dLbl>
              <c:idx val="1"/>
              <c:layout>
                <c:manualLayout>
                  <c:x val="-8.5944782257578997E-2"/>
                  <c:y val="-0.13923440008804841"/>
                </c:manualLayout>
              </c:layout>
              <c:showPercent val="1"/>
            </c:dLbl>
            <c:dLbl>
              <c:idx val="2"/>
              <c:layout>
                <c:manualLayout>
                  <c:x val="0.16555713760780075"/>
                  <c:y val="-2.36501385904287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</c:dLbls>
          <c:cat>
            <c:strRef>
              <c:f>List1!$H$12:$J$12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List1!$H$13:$J$13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List1!$H$8:$J$8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List1!$H$9:$J$9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dLbls>
            <c:showPercent val="1"/>
          </c:dLbls>
          <c:cat>
            <c:strRef>
              <c:f>List1!$H$8:$J$8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List1!$H$9:$J$9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0.12074912510936131"/>
                  <c:y val="-0.17133202099737524"/>
                </c:manualLayout>
              </c:layout>
              <c:showPercent val="1"/>
            </c:dLbl>
            <c:dLbl>
              <c:idx val="2"/>
              <c:layout>
                <c:manualLayout>
                  <c:x val="2.2382764654418248E-2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List2!$B$71:$D$71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List2!$B$72:$D$72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0.10425087489063871"/>
                  <c:y val="-0.12966535433070869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-4.003353747448239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List2!$B$77:$D$77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List2!$B$78:$D$78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2.3383202099737585E-2"/>
                  <c:y val="0.11057123067949838"/>
                </c:manualLayout>
              </c:layout>
              <c:showPercent val="1"/>
            </c:dLbl>
            <c:dLbl>
              <c:idx val="1"/>
              <c:layout>
                <c:manualLayout>
                  <c:x val="-0.10425087489063871"/>
                  <c:y val="-0.20373942840478271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List2!$B$80:$D$80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List2!$B$81:$D$81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</a:t>
            </a:r>
            <a:r>
              <a:rPr lang="cs-CZ" baseline="0"/>
              <a:t> obyvatelé</a:t>
            </a:r>
            <a:endParaRPr lang="cs-CZ"/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8.7272090988626524E-2"/>
                  <c:y val="0.16612642169728783"/>
                </c:manualLayout>
              </c:layout>
              <c:showPercent val="1"/>
            </c:dLbl>
            <c:dLbl>
              <c:idx val="1"/>
              <c:layout>
                <c:manualLayout>
                  <c:x val="-2.6473097112860951E-2"/>
                  <c:y val="-0.23151720618256075"/>
                </c:manualLayout>
              </c:layout>
              <c:showPercent val="1"/>
            </c:dLbl>
            <c:dLbl>
              <c:idx val="2"/>
              <c:layout>
                <c:manualLayout>
                  <c:x val="9.1827209098862786E-2"/>
                  <c:y val="0.14515128317293696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List3!$B$2:$D$2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List3!$B$3:$D$3</c:f>
              <c:numCache>
                <c:formatCode>General</c:formatCode>
                <c:ptCount val="3"/>
                <c:pt idx="0">
                  <c:v>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9.5917541557305336E-2"/>
                  <c:y val="-9.7257946923301197E-2"/>
                </c:manualLayout>
              </c:layout>
              <c:showPercent val="1"/>
            </c:dLbl>
            <c:dLbl>
              <c:idx val="2"/>
              <c:layout>
                <c:manualLayout>
                  <c:x val="0.13071609798775169"/>
                  <c:y val="-9.095946340040829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List3!$B$5:$D$5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List3!$B$6:$D$6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3383202099737532E-2"/>
                  <c:y val="0.13371901428988042"/>
                </c:manualLayout>
              </c:layout>
              <c:showPercent val="1"/>
            </c:dLbl>
            <c:dLbl>
              <c:idx val="1"/>
              <c:layout>
                <c:manualLayout>
                  <c:x val="-7.0917541557305425E-2"/>
                  <c:y val="-0.22225794692330125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List3!$B$9:$D$9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List3!$B$10:$D$10</c:f>
              <c:numCache>
                <c:formatCode>General</c:formatCode>
                <c:ptCount val="3"/>
                <c:pt idx="0">
                  <c:v>6</c:v>
                </c:pt>
                <c:pt idx="1">
                  <c:v>22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094943132108486"/>
                  <c:y val="0.12446011956838729"/>
                </c:manualLayout>
              </c:layout>
              <c:showPercent val="1"/>
            </c:dLbl>
            <c:dLbl>
              <c:idx val="1"/>
              <c:layout>
                <c:manualLayout>
                  <c:x val="3.4638013998250242E-2"/>
                  <c:y val="-0.21762831729367163"/>
                </c:manualLayout>
              </c:layout>
              <c:showPercent val="1"/>
            </c:dLbl>
            <c:dLbl>
              <c:idx val="2"/>
              <c:layout>
                <c:manualLayout>
                  <c:x val="9.7382764654418044E-2"/>
                  <c:y val="0.1544109069699623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List3!$B$12:$D$12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List3!$B$13:$D$13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  <c:layout>
        <c:manualLayout>
          <c:xMode val="edge"/>
          <c:yMode val="edge"/>
          <c:x val="0.37077077865266911"/>
          <c:y val="2.7777777777777842E-2"/>
        </c:manualLayout>
      </c:layout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0605424321959709E-2"/>
                  <c:y val="0.14297863808690597"/>
                </c:manualLayout>
              </c:layout>
              <c:showPercent val="1"/>
            </c:dLbl>
            <c:dLbl>
              <c:idx val="1"/>
              <c:layout>
                <c:manualLayout>
                  <c:x val="-0.11536198600174978"/>
                  <c:y val="-0.12040609507144945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-2.151501895596387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List3!$B$16:$D$16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List3!$B$17:$D$17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2.3383202099737536E-2"/>
                  <c:y val="0.11057123067949838"/>
                </c:manualLayout>
              </c:layout>
              <c:showPercent val="1"/>
            </c:dLbl>
            <c:dLbl>
              <c:idx val="1"/>
              <c:layout>
                <c:manualLayout>
                  <c:x val="-0.13758420822397197"/>
                  <c:y val="-6.4850539515893924E-2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-4.003353747448232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List3!$B$19:$D$19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List3!$B$20:$D$20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</a:t>
            </a:r>
            <a:r>
              <a:rPr lang="cs-CZ" baseline="0"/>
              <a:t> obyvatelé</a:t>
            </a:r>
            <a:endParaRPr lang="cs-CZ"/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0.1014730971128608"/>
                  <c:y val="-0.12503572470107913"/>
                </c:manualLayout>
              </c:layout>
              <c:showPercent val="1"/>
            </c:dLbl>
            <c:dLbl>
              <c:idx val="2"/>
              <c:layout>
                <c:manualLayout>
                  <c:x val="0.14738276465441819"/>
                  <c:y val="-4.929279673374176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List3!$B$23:$D$23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List3!$B$24:$D$24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Stálí</a:t>
            </a:r>
            <a:r>
              <a:rPr lang="cs-CZ"/>
              <a:t> obyvatelé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6.8904564012831807E-2"/>
                </c:manualLayout>
              </c:layout>
              <c:showPercent val="1"/>
            </c:dLbl>
            <c:dLbl>
              <c:idx val="1"/>
              <c:layout>
                <c:manualLayout>
                  <c:x val="5.4082458442694728E-2"/>
                  <c:y val="-0.18059128025663482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List1!$H$16:$J$16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List1!$H$17:$J$17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2.3383202099737585E-2"/>
                  <c:y val="0.10594160104986869"/>
                </c:manualLayout>
              </c:layout>
              <c:showPercent val="1"/>
            </c:dLbl>
            <c:dLbl>
              <c:idx val="1"/>
              <c:layout>
                <c:manualLayout>
                  <c:x val="-7.0917541557305425E-2"/>
                  <c:y val="0.12033464566929145"/>
                </c:manualLayout>
              </c:layout>
              <c:showPercent val="1"/>
            </c:dLbl>
            <c:dLbl>
              <c:idx val="2"/>
              <c:layout>
                <c:manualLayout>
                  <c:x val="0.10849387576552952"/>
                  <c:y val="-0.2135998104403619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List3!$B$26:$D$26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List3!$B$27:$D$27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33"/>
                  <c:y val="7.8163823272090982E-2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4182720909886271"/>
                  <c:y val="-7.6261300670749455E-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List3!$B$41:$D$41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List3!$B$42:$D$42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3383202099737532E-2"/>
                  <c:y val="0.15223753280839925"/>
                </c:manualLayout>
              </c:layout>
              <c:showPercent val="1"/>
            </c:dLbl>
            <c:dLbl>
              <c:idx val="1"/>
              <c:layout>
                <c:manualLayout>
                  <c:x val="-0.11813976377952756"/>
                  <c:y val="-3.7072761738116092E-2"/>
                </c:manualLayout>
              </c:layout>
              <c:showPercent val="1"/>
            </c:dLbl>
            <c:dLbl>
              <c:idx val="2"/>
              <c:layout>
                <c:manualLayout>
                  <c:x val="0.1334938757655294"/>
                  <c:y val="-0.10947798191892671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List3!$B$44:$D$44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List3!$B$45:$D$45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List3!$B$47:$D$47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List3!$B$48:$D$48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060542432195975E-2"/>
                  <c:y val="0.15223753280839925"/>
                </c:manualLayout>
              </c:layout>
              <c:showPercent val="1"/>
            </c:dLbl>
            <c:dLbl>
              <c:idx val="1"/>
              <c:layout>
                <c:manualLayout>
                  <c:x val="-0.11258420822397208"/>
                  <c:y val="4.5939049285505977E-3"/>
                </c:manualLayout>
              </c:layout>
              <c:showPercent val="1"/>
            </c:dLbl>
            <c:dLbl>
              <c:idx val="2"/>
              <c:layout>
                <c:manualLayout>
                  <c:x val="0.13071609798775169"/>
                  <c:y val="-0.1326261300670749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List3!$B$50:$D$50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List3!$B$51:$D$51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0605424321959709E-2"/>
                  <c:y val="0.14760826771653543"/>
                </c:manualLayout>
              </c:layout>
              <c:showPercent val="1"/>
            </c:dLbl>
            <c:dLbl>
              <c:idx val="1"/>
              <c:layout>
                <c:manualLayout>
                  <c:x val="-0.11536198600174978"/>
                  <c:y val="-3.7072761738116092E-2"/>
                </c:manualLayout>
              </c:layout>
              <c:showPercent val="1"/>
            </c:dLbl>
            <c:dLbl>
              <c:idx val="2"/>
              <c:layout>
                <c:manualLayout>
                  <c:x val="0.13071609798775169"/>
                  <c:y val="-0.1094779819189268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List3!$B$54:$D$54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List3!$B$55:$D$55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9.3139763779527526E-2"/>
                  <c:y val="-0.18985053951589403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List3!$B$57:$D$57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List3!$B$58:$D$58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8.2793452901720646E-2"/>
                </c:manualLayout>
              </c:layout>
              <c:showPercent val="1"/>
            </c:dLbl>
            <c:dLbl>
              <c:idx val="1"/>
              <c:layout>
                <c:manualLayout>
                  <c:x val="-7.3695319335083068E-2"/>
                  <c:y val="-0.14818387284922721"/>
                </c:manualLayout>
              </c:layout>
              <c:showPercent val="1"/>
            </c:dLbl>
            <c:dLbl>
              <c:idx val="2"/>
              <c:layout>
                <c:manualLayout>
                  <c:x val="0.1334938757655294"/>
                  <c:y val="-3.077427821522316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List3!$B$61:$D$61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List3!$B$62:$D$62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161679790026318"/>
                  <c:y val="0.26334900845727616"/>
                </c:manualLayout>
              </c:layout>
              <c:showPercent val="1"/>
            </c:dLbl>
            <c:dLbl>
              <c:idx val="1"/>
              <c:layout>
                <c:manualLayout>
                  <c:x val="-5.9806430446194353E-2"/>
                  <c:y val="0.12278616214639845"/>
                </c:manualLayout>
              </c:layout>
              <c:showPercent val="1"/>
            </c:dLbl>
            <c:dLbl>
              <c:idx val="2"/>
              <c:layout>
                <c:manualLayout>
                  <c:x val="8.9049431321084865E-2"/>
                  <c:y val="-0.24766951006124241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List3!$B$64:$D$64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List3!$B$65:$D$65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občané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1504986876640418"/>
                  <c:y val="9.2052712160979877E-2"/>
                </c:manualLayout>
              </c:layout>
              <c:showPercent val="1"/>
            </c:dLbl>
            <c:dLbl>
              <c:idx val="1"/>
              <c:layout>
                <c:manualLayout>
                  <c:x val="6.2415791776028066E-2"/>
                  <c:y val="-0.20373942840478271"/>
                </c:manualLayout>
              </c:layout>
              <c:showPercent val="1"/>
            </c:dLbl>
            <c:dLbl>
              <c:idx val="2"/>
              <c:layout>
                <c:manualLayout>
                  <c:x val="9.7382764654418044E-2"/>
                  <c:y val="0.14978127734033261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List3!$B$68:$D$68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List3!$B$69:$D$69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338320209973754"/>
                  <c:y val="-9.7762102653834948E-2"/>
                </c:manualLayout>
              </c:layout>
              <c:showPercent val="1"/>
            </c:dLbl>
            <c:dLbl>
              <c:idx val="1"/>
              <c:layout>
                <c:manualLayout>
                  <c:x val="9.8526902887139459E-2"/>
                  <c:y val="-9.2628317293671728E-2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List1!$H$19:$J$19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List1!$H$20:$J$20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33"/>
                  <c:y val="-6.9984324876057172E-2"/>
                </c:manualLayout>
              </c:layout>
              <c:showPercent val="1"/>
            </c:dLbl>
            <c:dLbl>
              <c:idx val="1"/>
              <c:layout>
                <c:manualLayout>
                  <c:x val="0.12908245844269486"/>
                  <c:y val="1.3853164187809857E-2"/>
                </c:manualLayout>
              </c:layout>
              <c:showPercent val="1"/>
            </c:dLbl>
            <c:dLbl>
              <c:idx val="2"/>
              <c:layout>
                <c:manualLayout>
                  <c:x val="2.7938320209973843E-2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List3!$B$71:$D$71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List3!$B$72:$D$72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občané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List3!$B$77:$D$77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List3!$B$78:$D$78</c:f>
              <c:numCache>
                <c:formatCode>General</c:formatCode>
                <c:ptCount val="3"/>
                <c:pt idx="0">
                  <c:v>6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9.3139763779527707E-2"/>
                  <c:y val="-0.12503572470107888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-4.929279673374176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List3!$B$80:$D$80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List3!$B$81:$D$81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25E-2"/>
                  <c:y val="0.12908938466025091"/>
                </c:manualLayout>
              </c:layout>
              <c:showPercent val="1"/>
            </c:dLbl>
            <c:dLbl>
              <c:idx val="1"/>
              <c:layout>
                <c:manualLayout>
                  <c:x val="0.10963779527559064"/>
                  <c:y val="-0.2268875765529309"/>
                </c:manualLayout>
              </c:layout>
              <c:showPercent val="1"/>
            </c:dLbl>
            <c:dLbl>
              <c:idx val="2"/>
              <c:layout>
                <c:manualLayout>
                  <c:x val="3.9049212598425267E-2"/>
                  <c:y val="0.1312627588218139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List3!$B$83:$D$83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List3!$B$84:$D$84</c:f>
              <c:numCache>
                <c:formatCode>General</c:formatCode>
                <c:ptCount val="3"/>
                <c:pt idx="0">
                  <c:v>7</c:v>
                </c:pt>
                <c:pt idx="1">
                  <c:v>23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338320209973754"/>
                  <c:y val="0.10131197142023927"/>
                </c:manualLayout>
              </c:layout>
              <c:showPercent val="1"/>
            </c:dLbl>
            <c:dLbl>
              <c:idx val="1"/>
              <c:layout>
                <c:manualLayout>
                  <c:x val="7.908245844269475E-2"/>
                  <c:y val="-0.21762831729367163"/>
                </c:manualLayout>
              </c:layout>
              <c:showPercent val="1"/>
            </c:dLbl>
            <c:dLbl>
              <c:idx val="2"/>
              <c:layout>
                <c:manualLayout>
                  <c:x val="7.516054243219597E-2"/>
                  <c:y val="0.1451516477107028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List3!$B$86:$D$86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List3!$B$87:$D$87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4004986876640446"/>
                  <c:y val="8.7193788276465449E-3"/>
                </c:manualLayout>
              </c:layout>
              <c:showPercent val="1"/>
            </c:dLbl>
            <c:dLbl>
              <c:idx val="1"/>
              <c:layout>
                <c:manualLayout>
                  <c:x val="0.13741579177602836"/>
                  <c:y val="-7.8739428404782735E-2"/>
                </c:manualLayout>
              </c:layout>
              <c:showPercent val="1"/>
            </c:dLbl>
            <c:dLbl>
              <c:idx val="2"/>
              <c:layout>
                <c:manualLayout>
                  <c:x val="4.738276465441834E-2"/>
                  <c:y val="0.12663312919218431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List3!$B$89:$D$89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List3!$B$90:$D$90</c:f>
              <c:numCache>
                <c:formatCode>General</c:formatCode>
                <c:ptCount val="3"/>
                <c:pt idx="0">
                  <c:v>17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338320209973748"/>
                  <c:y val="-0.15962015164771071"/>
                </c:manualLayout>
              </c:layout>
              <c:showPercent val="1"/>
            </c:dLbl>
            <c:dLbl>
              <c:idx val="1"/>
              <c:layout>
                <c:manualLayout>
                  <c:x val="0.11241579177602806"/>
                  <c:y val="9.2556867891513767E-2"/>
                </c:manualLayout>
              </c:layout>
              <c:showPercent val="1"/>
            </c:dLbl>
            <c:dLbl>
              <c:idx val="2"/>
              <c:layout>
                <c:manualLayout>
                  <c:x val="2.516054243219603E-2"/>
                  <c:y val="0.1127442403032955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List3!$B$92:$D$92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List3!$B$93:$D$93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060542432195975E-2"/>
                  <c:y val="0.14760826771653543"/>
                </c:manualLayout>
              </c:layout>
              <c:showPercent val="1"/>
            </c:dLbl>
            <c:dLbl>
              <c:idx val="1"/>
              <c:layout>
                <c:manualLayout>
                  <c:x val="-8.4806430446194223E-2"/>
                  <c:y val="-0.2037397929425489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List3!$B$101:$D$101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List3!$B$102:$D$102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7.9250874890638714E-2"/>
                  <c:y val="-0.16670239136774587"/>
                </c:manualLayout>
              </c:layout>
              <c:showPercent val="1"/>
            </c:dLbl>
            <c:dLbl>
              <c:idx val="2"/>
              <c:layout>
                <c:manualLayout>
                  <c:x val="0.14182720909886271"/>
                  <c:y val="2.94109069699620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List3!$B$104:$D$104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List3!$B$105:$D$105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060542432195995"/>
                  <c:y val="0.13834900845727646"/>
                </c:manualLayout>
              </c:layout>
              <c:showPercent val="1"/>
            </c:dLbl>
            <c:dLbl>
              <c:idx val="1"/>
              <c:layout>
                <c:manualLayout>
                  <c:x val="0.12074912510936131"/>
                  <c:y val="-0.18059128025663482"/>
                </c:manualLayout>
              </c:layout>
              <c:showPercent val="1"/>
            </c:dLbl>
            <c:dLbl>
              <c:idx val="2"/>
              <c:layout>
                <c:manualLayout>
                  <c:x val="4.4604768153980782E-2"/>
                  <c:y val="0.1220034995625546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List3!$B$107:$D$107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List3!$B$108:$D$108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439457567804084"/>
                  <c:y val="0.27260826771653546"/>
                </c:manualLayout>
              </c:layout>
              <c:showPercent val="1"/>
            </c:dLbl>
            <c:dLbl>
              <c:idx val="1"/>
              <c:layout>
                <c:manualLayout>
                  <c:x val="-9.8695319335083492E-2"/>
                  <c:y val="0.13885316418780991"/>
                </c:manualLayout>
              </c:layout>
              <c:showPercent val="1"/>
            </c:dLbl>
            <c:dLbl>
              <c:idx val="2"/>
              <c:layout>
                <c:manualLayout>
                  <c:x val="0.13071609798775169"/>
                  <c:y val="-0.1604039078448527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List2!$B$17:$D$17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List2!$B$18:$D$18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1782764654418201"/>
                  <c:y val="-0.18739792942548864"/>
                </c:manualLayout>
              </c:layout>
              <c:showPercent val="1"/>
            </c:dLbl>
            <c:dLbl>
              <c:idx val="1"/>
              <c:layout>
                <c:manualLayout>
                  <c:x val="0.11519356955380577"/>
                  <c:y val="4.6260571595217272E-2"/>
                </c:manualLayout>
              </c:layout>
              <c:showPercent val="1"/>
            </c:dLbl>
            <c:dLbl>
              <c:idx val="2"/>
              <c:layout>
                <c:manualLayout>
                  <c:x val="6.4049431321084899E-2"/>
                  <c:y val="0.140522018081073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List3!$B$110:$D$110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List3!$B$111:$D$111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3727209098862647"/>
                  <c:y val="-5.3988043161271493E-4"/>
                </c:manualLayout>
              </c:layout>
              <c:showPercent val="1"/>
            </c:dLbl>
            <c:dLbl>
              <c:idx val="1"/>
              <c:layout>
                <c:manualLayout>
                  <c:x val="0.13741579177602836"/>
                  <c:y val="-8.3369058034412538E-2"/>
                </c:manualLayout>
              </c:layout>
              <c:showPercent val="1"/>
            </c:dLbl>
            <c:dLbl>
              <c:idx val="2"/>
              <c:layout>
                <c:manualLayout>
                  <c:x val="4.4604768153980782E-2"/>
                  <c:y val="0.1312627588218139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List3!$B$113:$D$113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List3!$B$114:$D$114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8.4494313210848646E-2"/>
                  <c:y val="-0.20897018081073224"/>
                </c:manualLayout>
              </c:layout>
              <c:showPercent val="1"/>
            </c:dLbl>
            <c:dLbl>
              <c:idx val="1"/>
              <c:layout>
                <c:manualLayout>
                  <c:x val="7.0749125109361335E-2"/>
                  <c:y val="0.11107538641003209"/>
                </c:manualLayout>
              </c:layout>
              <c:showPercent val="1"/>
            </c:dLbl>
            <c:dLbl>
              <c:idx val="2"/>
              <c:layout>
                <c:manualLayout>
                  <c:x val="2.2382764654418248E-2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List3!$B$116:$D$116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List3!$B$117:$D$117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List3!$B$122:$D$122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List3!$B$123:$D$123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List3!$B$125:$D$125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List3!$B$126:$D$126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-4.5917541557305416E-2"/>
                  <c:y val="-0.17596165062700514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List3!$B$128:$D$128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List3!$B$129:$D$129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5.9494313210848776E-2"/>
                  <c:y val="0.13834900845727646"/>
                </c:manualLayout>
              </c:layout>
              <c:showPercent val="1"/>
            </c:dLbl>
            <c:dLbl>
              <c:idx val="1"/>
              <c:layout>
                <c:manualLayout>
                  <c:x val="-8.4806430446194223E-2"/>
                  <c:y val="-0.21762831729367163"/>
                </c:manualLayout>
              </c:layout>
              <c:showPercent val="1"/>
            </c:dLbl>
            <c:dLbl>
              <c:idx val="2"/>
              <c:layout>
                <c:manualLayout>
                  <c:x val="9.1827209098862786E-2"/>
                  <c:y val="0.1544109069699623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List3!$B$131:$D$131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List3!$B$132:$D$132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3171653543307091"/>
                  <c:y val="-0.13942876932050169"/>
                </c:manualLayout>
              </c:layout>
              <c:showPercent val="1"/>
            </c:dLbl>
            <c:dLbl>
              <c:idx val="1"/>
              <c:layout>
                <c:manualLayout>
                  <c:x val="0.13186023622047244"/>
                  <c:y val="3.2371682706328411E-2"/>
                </c:manualLayout>
              </c:layout>
              <c:showPercent val="1"/>
            </c:dLbl>
            <c:dLbl>
              <c:idx val="2"/>
              <c:layout>
                <c:manualLayout>
                  <c:x val="4.1826990376202973E-2"/>
                  <c:y val="0.1220034995625546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List3!$B$134:$D$134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List3!$B$135:$D$135</c:f>
              <c:numCache>
                <c:formatCode>General</c:formatCode>
                <c:ptCount val="3"/>
                <c:pt idx="0">
                  <c:v>21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1504986876640415"/>
                  <c:y val="-0.18739792942548864"/>
                </c:manualLayout>
              </c:layout>
              <c:showPercent val="1"/>
            </c:dLbl>
            <c:dLbl>
              <c:idx val="1"/>
              <c:layout>
                <c:manualLayout>
                  <c:x val="0.10408245844269472"/>
                  <c:y val="7.403834937299511E-2"/>
                </c:manualLayout>
              </c:layout>
              <c:showPercent val="1"/>
            </c:dLbl>
            <c:dLbl>
              <c:idx val="2"/>
              <c:layout>
                <c:manualLayout>
                  <c:x val="2.2382764654418248E-2"/>
                  <c:y val="0.11737386993292505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List3!$B$137:$D$137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List3!$B$138:$D$138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4560542432195975"/>
                  <c:y val="-5.6095435987168325E-2"/>
                </c:manualLayout>
              </c:layout>
              <c:showPercent val="1"/>
            </c:dLbl>
            <c:dLbl>
              <c:idx val="1"/>
              <c:layout>
                <c:manualLayout>
                  <c:x val="0.13186023622047244"/>
                  <c:y val="-6.0220909886264218E-2"/>
                </c:manualLayout>
              </c:layout>
              <c:showPercent val="1"/>
            </c:dLbl>
            <c:dLbl>
              <c:idx val="2"/>
              <c:layout>
                <c:manualLayout>
                  <c:x val="7.2382764654418355E-2"/>
                  <c:y val="0.1451516477107028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List3!$B$140:$D$140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List3!$B$141:$D$141</c:f>
              <c:numCache>
                <c:formatCode>General</c:formatCode>
                <c:ptCount val="3"/>
                <c:pt idx="0">
                  <c:v>19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4606124234470692"/>
                  <c:y val="0.27260826771653546"/>
                </c:manualLayout>
              </c:layout>
              <c:showPercent val="1"/>
            </c:dLbl>
            <c:dLbl>
              <c:idx val="1"/>
              <c:layout>
                <c:manualLayout>
                  <c:x val="-0.13758420822397197"/>
                  <c:y val="4.5939049285505977E-3"/>
                </c:manualLayout>
              </c:layout>
              <c:showPercent val="1"/>
            </c:dLbl>
            <c:dLbl>
              <c:idx val="2"/>
              <c:layout>
                <c:manualLayout>
                  <c:x val="0.1334938757655294"/>
                  <c:y val="-7.707057451151939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List2!$B$20:$D$20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List2!$B$21:$D$21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0.10131197142023927"/>
                </c:manualLayout>
              </c:layout>
              <c:showPercent val="1"/>
            </c:dLbl>
            <c:dLbl>
              <c:idx val="1"/>
              <c:layout>
                <c:manualLayout>
                  <c:x val="0.12908245844269489"/>
                  <c:y val="-0.14818387284922721"/>
                </c:manualLayout>
              </c:layout>
              <c:showPercent val="1"/>
            </c:dLbl>
            <c:dLbl>
              <c:idx val="2"/>
              <c:layout>
                <c:manualLayout>
                  <c:x val="2.516054243219603E-2"/>
                  <c:y val="0.12200349956255468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List3!$B$143:$D$143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List3!$B$144:$D$144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2893875765529328"/>
                  <c:y val="7.3534193642461373E-2"/>
                </c:manualLayout>
              </c:layout>
              <c:showPercent val="1"/>
            </c:dLbl>
            <c:dLbl>
              <c:idx val="1"/>
              <c:layout>
                <c:manualLayout>
                  <c:x val="0.10408245844269466"/>
                  <c:y val="-0.18059128025663476"/>
                </c:manualLayout>
              </c:layout>
              <c:showPercent val="1"/>
            </c:dLbl>
            <c:dLbl>
              <c:idx val="2"/>
              <c:layout>
                <c:manualLayout>
                  <c:x val="6.4049431321084899E-2"/>
                  <c:y val="0.1405220180810732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List3!$B$146:$D$146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List3!$B$147:$D$147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4838320209973754"/>
                  <c:y val="-5.3988043161271493E-4"/>
                </c:manualLayout>
              </c:layout>
              <c:showPercent val="1"/>
            </c:dLbl>
            <c:dLbl>
              <c:idx val="1"/>
              <c:layout>
                <c:manualLayout>
                  <c:x val="0.10408245844269466"/>
                  <c:y val="-0.13892461358996791"/>
                </c:manualLayout>
              </c:layout>
              <c:showPercent val="1"/>
            </c:dLbl>
            <c:dLbl>
              <c:idx val="2"/>
              <c:layout>
                <c:manualLayout>
                  <c:x val="9.1827209098862786E-2"/>
                  <c:y val="0.1405220180810732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List3!$B$149:$D$149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List3!$B$150:$D$150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obyvatalé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7.060542432195975E-2"/>
                  <c:y val="0.15223789734616539"/>
                </c:manualLayout>
              </c:layout>
              <c:showPercent val="1"/>
            </c:dLbl>
            <c:dLbl>
              <c:idx val="1"/>
              <c:layout>
                <c:manualLayout>
                  <c:x val="-0.11258420822397208"/>
                  <c:y val="-9.7257946923301253E-2"/>
                </c:manualLayout>
              </c:layout>
              <c:showPercent val="1"/>
            </c:dLbl>
            <c:dLbl>
              <c:idx val="2"/>
              <c:layout>
                <c:manualLayout>
                  <c:x val="0.13627165354330709"/>
                  <c:y val="-1.688575386410034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List3!$B$152:$D$152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List3!$B$153:$D$153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439457567804084"/>
                  <c:y val="0.26334900845727616"/>
                </c:manualLayout>
              </c:layout>
              <c:showPercent val="1"/>
            </c:dLbl>
            <c:dLbl>
              <c:idx val="1"/>
              <c:layout>
                <c:manualLayout>
                  <c:x val="-9.8695319335083437E-2"/>
                  <c:y val="0.12959390492855044"/>
                </c:manualLayout>
              </c:layout>
              <c:showPercent val="1"/>
            </c:dLbl>
            <c:dLbl>
              <c:idx val="2"/>
              <c:layout>
                <c:manualLayout>
                  <c:x val="0.12516054243219599"/>
                  <c:y val="-0.2030756051326917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List3!$B$155:$D$155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List3!$B$156:$D$156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0.10671653543307104"/>
                  <c:y val="0.13834900845727646"/>
                </c:manualLayout>
              </c:layout>
              <c:showPercent val="1"/>
            </c:dLbl>
            <c:dLbl>
              <c:idx val="1"/>
              <c:layout>
                <c:manualLayout>
                  <c:x val="2.6304680664916886E-2"/>
                  <c:y val="-0.20836905803441241"/>
                </c:manualLayout>
              </c:layout>
              <c:showPercent val="1"/>
            </c:dLbl>
            <c:dLbl>
              <c:idx val="2"/>
              <c:layout>
                <c:manualLayout>
                  <c:x val="0.11960498687664055"/>
                  <c:y val="0.1544109069699623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List3!$B$158:$D$158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List3!$B$159:$D$159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9.5605424321959953E-2"/>
                  <c:y val="0.13834900845727649"/>
                </c:manualLayout>
              </c:layout>
              <c:showPercent val="1"/>
            </c:dLbl>
            <c:dLbl>
              <c:idx val="1"/>
              <c:layout>
                <c:manualLayout>
                  <c:x val="3.1860236220472446E-2"/>
                  <c:y val="-0.24540609507144975"/>
                </c:manualLayout>
              </c:layout>
              <c:showPercent val="1"/>
            </c:dLbl>
            <c:dLbl>
              <c:idx val="2"/>
              <c:layout>
                <c:manualLayout>
                  <c:x val="0.11404943132108486"/>
                  <c:y val="0.10348498104403617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List3!$B$161:$D$161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List3!$B$162:$D$162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 obyvatelé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161679790026318"/>
                  <c:y val="0.26334900845727616"/>
                </c:manualLayout>
              </c:layout>
              <c:showPercent val="1"/>
            </c:dLbl>
            <c:dLbl>
              <c:idx val="1"/>
              <c:layout>
                <c:manualLayout>
                  <c:x val="-7.6473097112860891E-2"/>
                  <c:y val="0.12959390492855044"/>
                </c:manualLayout>
              </c:layout>
              <c:showPercent val="1"/>
            </c:dLbl>
            <c:dLbl>
              <c:idx val="2"/>
              <c:layout>
                <c:manualLayout>
                  <c:x val="0.10849387576552952"/>
                  <c:y val="-0.1897575823855353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List2!$B$24:$D$24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List2!$B$25:$D$25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Chalupáři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0.35439457567804084"/>
                  <c:y val="0.25871937882764695"/>
                </c:manualLayout>
              </c:layout>
              <c:showPercent val="1"/>
            </c:dLbl>
            <c:dLbl>
              <c:idx val="1"/>
              <c:layout>
                <c:manualLayout>
                  <c:x val="-2.6473315835520629E-2"/>
                  <c:y val="0.10557305336832896"/>
                </c:manualLayout>
              </c:layout>
              <c:showPercent val="1"/>
            </c:dLbl>
            <c:dLbl>
              <c:idx val="2"/>
              <c:layout>
                <c:manualLayout>
                  <c:x val="4.1827209098862644E-2"/>
                  <c:y val="-0.244345290172062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List2!$B$27:$D$27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List2!$B$28:$D$28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Stálí</a:t>
            </a:r>
            <a:r>
              <a:rPr lang="cs-CZ" baseline="0"/>
              <a:t> obyvatelé</a:t>
            </a:r>
            <a:endParaRPr lang="cs-CZ"/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dPt>
          <c:dLbls>
            <c:dLbl>
              <c:idx val="0"/>
              <c:layout>
                <c:manualLayout>
                  <c:x val="-6.7827646544181983E-2"/>
                  <c:y val="0.13834900845727646"/>
                </c:manualLayout>
              </c:layout>
              <c:showPercent val="1"/>
            </c:dLbl>
            <c:dLbl>
              <c:idx val="1"/>
              <c:layout>
                <c:manualLayout>
                  <c:x val="-0.11536198600174978"/>
                  <c:y val="4.5939049285505977E-3"/>
                </c:manualLayout>
              </c:layout>
              <c:showPercent val="1"/>
            </c:dLbl>
            <c:dLbl>
              <c:idx val="2"/>
              <c:layout>
                <c:manualLayout>
                  <c:x val="0.13904943132108513"/>
                  <c:y val="-0.1326261300670749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List2!$B$31:$D$31</c:f>
              <c:strCache>
                <c:ptCount val="3"/>
                <c:pt idx="0">
                  <c:v>Velmi důležité</c:v>
                </c:pt>
                <c:pt idx="1">
                  <c:v>Důležité</c:v>
                </c:pt>
                <c:pt idx="2">
                  <c:v>Nedůležité</c:v>
                </c:pt>
              </c:strCache>
            </c:strRef>
          </c:cat>
          <c:val>
            <c:numRef>
              <c:f>List2!$B$32:$D$32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Janata</dc:creator>
  <cp:lastModifiedBy>Ing. Janata</cp:lastModifiedBy>
  <cp:revision>15</cp:revision>
  <cp:lastPrinted>2020-12-16T08:12:00Z</cp:lastPrinted>
  <dcterms:created xsi:type="dcterms:W3CDTF">2020-11-19T10:14:00Z</dcterms:created>
  <dcterms:modified xsi:type="dcterms:W3CDTF">2020-12-16T08:16:00Z</dcterms:modified>
</cp:coreProperties>
</file>